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0A4DE685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 w:rsidR="00A70090">
        <w:t xml:space="preserve">, № </w:t>
      </w:r>
      <w:r w:rsidR="0048398B">
        <w:t>4</w:t>
      </w:r>
      <w:r w:rsidR="00A70090">
        <w:t>-2025 от 22.05.2025 г.</w:t>
      </w:r>
      <w:r w:rsidR="002B1378">
        <w:t xml:space="preserve">, № </w:t>
      </w:r>
      <w:r w:rsidR="0048398B">
        <w:t>5</w:t>
      </w:r>
      <w:r w:rsidR="002B1378">
        <w:t>-2025 от 30.05.2025 г.</w:t>
      </w:r>
      <w:r w:rsidR="0048398B">
        <w:t>, № 6-2025 от 06.08.2025 г.</w:t>
      </w:r>
      <w:r w:rsidR="00457A3E">
        <w:t>, № 7-2025 от 23.10.2025 г.</w:t>
      </w:r>
      <w:r w:rsidR="004172C6">
        <w:t xml:space="preserve">, </w:t>
      </w:r>
      <w:r w:rsidR="004172C6">
        <w:t>№ 8</w:t>
      </w:r>
      <w:r w:rsidR="004172C6" w:rsidRPr="00D41D93">
        <w:t>-202</w:t>
      </w:r>
      <w:r w:rsidR="004172C6">
        <w:t>5</w:t>
      </w:r>
      <w:r w:rsidR="004172C6" w:rsidRPr="00D41D93">
        <w:t xml:space="preserve"> от </w:t>
      </w:r>
      <w:r w:rsidR="004172C6">
        <w:t>27.11</w:t>
      </w:r>
      <w:r w:rsidR="004172C6" w:rsidRPr="00D41D93">
        <w:t>.202</w:t>
      </w:r>
      <w:r w:rsidR="004172C6">
        <w:t>5</w:t>
      </w:r>
      <w:r w:rsidR="004172C6" w:rsidRPr="00D41D93">
        <w:t xml:space="preserve">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4A49573E" w:rsidR="00A342FB" w:rsidRPr="004847B9" w:rsidRDefault="00B60142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4847B9">
              <w:rPr>
                <w:strike/>
                <w:color w:val="000000" w:themeColor="text1"/>
                <w:sz w:val="24"/>
                <w:szCs w:val="24"/>
              </w:rPr>
              <w:t>п</w:t>
            </w:r>
            <w:r w:rsidR="00054C98" w:rsidRPr="004847B9">
              <w:rPr>
                <w:strike/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4847B9">
              <w:rPr>
                <w:strike/>
                <w:color w:val="000000" w:themeColor="text1"/>
                <w:sz w:val="24"/>
                <w:szCs w:val="24"/>
              </w:rPr>
              <w:t>услуг,</w:t>
            </w:r>
            <w:r w:rsidR="000B0A95" w:rsidRPr="004847B9">
              <w:rPr>
                <w:strike/>
                <w:color w:val="000000" w:themeColor="text1"/>
                <w:sz w:val="24"/>
                <w:szCs w:val="24"/>
              </w:rPr>
              <w:t xml:space="preserve"> </w:t>
            </w:r>
            <w:r w:rsidR="00301B7B" w:rsidRPr="004847B9">
              <w:rPr>
                <w:strike/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4847B9">
              <w:rPr>
                <w:strike/>
                <w:color w:val="000000" w:themeColor="text1"/>
                <w:sz w:val="24"/>
                <w:szCs w:val="24"/>
              </w:rPr>
              <w:t>при оплате диализа</w:t>
            </w:r>
            <w:r w:rsidR="004847B9">
              <w:rPr>
                <w:strike/>
                <w:color w:val="000000" w:themeColor="text1"/>
                <w:sz w:val="24"/>
                <w:szCs w:val="24"/>
              </w:rPr>
              <w:t xml:space="preserve"> </w:t>
            </w:r>
            <w:r w:rsidR="004847B9" w:rsidRPr="004847B9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  <w:r w:rsidR="004847B9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4E3D521B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За посещение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2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</w:t>
      </w:r>
      <w:r w:rsidRPr="009B22D5">
        <w:rPr>
          <w:color w:val="000000" w:themeColor="text1"/>
          <w:sz w:val="28"/>
          <w:szCs w:val="28"/>
        </w:rPr>
        <w:lastRenderedPageBreak/>
        <w:t xml:space="preserve">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3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организация-фондодержатель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rFonts w:eastAsiaTheme="minorHAnsi"/>
          <w:strike/>
          <w:sz w:val="28"/>
          <w:szCs w:val="28"/>
          <w:lang w:eastAsia="en-US"/>
        </w:rPr>
        <w:t xml:space="preserve">4.7. </w:t>
      </w:r>
      <w:r w:rsidRPr="0066781D">
        <w:rPr>
          <w:strike/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66781D">
        <w:rPr>
          <w:strike/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66781D">
        <w:rPr>
          <w:strike/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NPR</w:t>
      </w:r>
      <w:r w:rsidRPr="0066781D">
        <w:rPr>
          <w:strike/>
          <w:color w:val="000000" w:themeColor="text1"/>
          <w:sz w:val="28"/>
          <w:szCs w:val="28"/>
        </w:rPr>
        <w:t>_</w:t>
      </w:r>
      <w:r w:rsidRPr="0066781D">
        <w:rPr>
          <w:strike/>
          <w:color w:val="000000" w:themeColor="text1"/>
          <w:sz w:val="28"/>
          <w:szCs w:val="28"/>
          <w:lang w:val="en-US"/>
        </w:rPr>
        <w:t>MO</w:t>
      </w:r>
      <w:r w:rsidRPr="0066781D">
        <w:rPr>
          <w:strike/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«CODE_USL»</w:t>
      </w:r>
      <w:r w:rsidR="00FE5FA6" w:rsidRPr="0066781D">
        <w:rPr>
          <w:strike/>
          <w:color w:val="000000" w:themeColor="text1"/>
          <w:sz w:val="28"/>
          <w:szCs w:val="28"/>
        </w:rPr>
        <w:t xml:space="preserve"> </w:t>
      </w:r>
      <w:r w:rsidRPr="0066781D">
        <w:rPr>
          <w:strike/>
          <w:color w:val="000000" w:themeColor="text1"/>
          <w:sz w:val="28"/>
          <w:szCs w:val="28"/>
        </w:rPr>
        <w:t>=</w:t>
      </w:r>
      <w:r w:rsidR="00FE5FA6" w:rsidRPr="0066781D">
        <w:rPr>
          <w:strike/>
          <w:color w:val="000000" w:themeColor="text1"/>
          <w:sz w:val="28"/>
          <w:szCs w:val="28"/>
        </w:rPr>
        <w:t xml:space="preserve"> </w:t>
      </w:r>
      <w:r w:rsidRPr="0066781D">
        <w:rPr>
          <w:strike/>
          <w:color w:val="000000" w:themeColor="text1"/>
          <w:sz w:val="28"/>
          <w:szCs w:val="28"/>
        </w:rPr>
        <w:t>B01.099.001</w:t>
      </w:r>
      <w:r w:rsidRPr="0066781D">
        <w:rPr>
          <w:strike/>
        </w:rPr>
        <w:t xml:space="preserve"> </w:t>
      </w:r>
      <w:r w:rsidR="00FE5FA6" w:rsidRPr="0066781D">
        <w:rPr>
          <w:strike/>
        </w:rPr>
        <w:t>«</w:t>
      </w:r>
      <w:r w:rsidRPr="0066781D">
        <w:rPr>
          <w:strike/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66781D">
        <w:rPr>
          <w:strike/>
          <w:color w:val="000000" w:themeColor="text1"/>
          <w:sz w:val="28"/>
          <w:szCs w:val="28"/>
        </w:rPr>
        <w:t>;</w:t>
      </w:r>
    </w:p>
    <w:p w14:paraId="02CA1ACB" w14:textId="6211093F" w:rsidR="00FE5FA6" w:rsidRPr="0066781D" w:rsidRDefault="00106282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TARIF</w:t>
      </w:r>
      <w:r w:rsidRPr="0066781D">
        <w:rPr>
          <w:strike/>
          <w:color w:val="000000" w:themeColor="text1"/>
          <w:sz w:val="28"/>
          <w:szCs w:val="28"/>
        </w:rPr>
        <w:t>»</w:t>
      </w:r>
      <w:r w:rsidR="00FE5FA6" w:rsidRPr="0066781D">
        <w:rPr>
          <w:strike/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66781D" w:rsidRDefault="00FE5FA6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66781D">
        <w:rPr>
          <w:strike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66781D" w:rsidRDefault="003513E1" w:rsidP="003513E1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</w:t>
      </w:r>
      <w:r w:rsidR="00FE5FA6" w:rsidRPr="0066781D">
        <w:rPr>
          <w:strike/>
          <w:color w:val="000000" w:themeColor="text1"/>
          <w:sz w:val="28"/>
          <w:szCs w:val="28"/>
        </w:rPr>
        <w:t xml:space="preserve"> «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CODE</w:t>
      </w:r>
      <w:r w:rsidR="00FE5FA6" w:rsidRPr="0066781D">
        <w:rPr>
          <w:strike/>
          <w:color w:val="000000" w:themeColor="text1"/>
          <w:sz w:val="28"/>
          <w:szCs w:val="28"/>
        </w:rPr>
        <w:t>_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USL</w:t>
      </w:r>
      <w:r w:rsidR="00FE5FA6" w:rsidRPr="0066781D">
        <w:rPr>
          <w:strike/>
          <w:color w:val="000000" w:themeColor="text1"/>
          <w:sz w:val="28"/>
          <w:szCs w:val="28"/>
        </w:rPr>
        <w:t>»</w:t>
      </w:r>
      <w:r w:rsidRPr="0066781D">
        <w:rPr>
          <w:strike/>
          <w:color w:val="000000" w:themeColor="text1"/>
          <w:sz w:val="28"/>
          <w:szCs w:val="28"/>
        </w:rPr>
        <w:t xml:space="preserve"> = 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B</w:t>
      </w:r>
      <w:r w:rsidR="00FE5FA6" w:rsidRPr="0066781D">
        <w:rPr>
          <w:strike/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66781D">
        <w:rPr>
          <w:strike/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66781D" w:rsidRDefault="003513E1" w:rsidP="003513E1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TARIF</w:t>
      </w:r>
      <w:r w:rsidRPr="0066781D">
        <w:rPr>
          <w:strike/>
          <w:color w:val="000000" w:themeColor="text1"/>
          <w:sz w:val="28"/>
          <w:szCs w:val="28"/>
        </w:rPr>
        <w:t>» = 0.</w:t>
      </w:r>
    </w:p>
    <w:p w14:paraId="274411C5" w14:textId="77777777" w:rsidR="003513E1" w:rsidRPr="0066781D" w:rsidRDefault="00FE5FA6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2183BC03" w:rsidR="00106282" w:rsidRPr="0066781D" w:rsidRDefault="003513E1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</w:rPr>
      </w:pPr>
      <w:r w:rsidRPr="0066781D">
        <w:rPr>
          <w:strike/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61CF047F" w14:textId="77777777" w:rsidR="008E5ABD" w:rsidRPr="008E5ABD" w:rsidRDefault="0066781D" w:rsidP="008E5A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4.7. </w:t>
      </w:r>
      <w:r w:rsidR="008E5ABD" w:rsidRPr="008E5ABD">
        <w:rPr>
          <w:color w:val="000000" w:themeColor="text1"/>
          <w:sz w:val="28"/>
          <w:szCs w:val="28"/>
        </w:rPr>
        <w:t>4.7. 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– в соответствии с тарифом, установленным Соглашением № 1/2025 на оплату телемедицинских врачебных консультаций;</w:t>
      </w:r>
    </w:p>
    <w:p w14:paraId="07803B2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lastRenderedPageBreak/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– в соответствии с тарифами посещений с иной целью или обращений по заболеванию, установленными приложением 2.4 к Соглашению № 1/2025;</w:t>
      </w:r>
    </w:p>
    <w:p w14:paraId="601C56B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«P_CEL» =9.1-9.4;</w:t>
      </w:r>
    </w:p>
    <w:p w14:paraId="3A37F04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1/2025 способом оплаты для соответствующей медицинской помощи.</w:t>
      </w:r>
    </w:p>
    <w:p w14:paraId="0F0A351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 xml:space="preserve">Медицинская организация, оформившая направление на телемедицинскую консультацию пациента, не учитывает проведенную в </w:t>
      </w:r>
      <w:r w:rsidRPr="008E5ABD">
        <w:rPr>
          <w:color w:val="000000" w:themeColor="text1"/>
          <w:sz w:val="28"/>
          <w:szCs w:val="28"/>
        </w:rPr>
        <w:lastRenderedPageBreak/>
        <w:t>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 xml:space="preserve"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1/2025.  </w:t>
      </w:r>
    </w:p>
    <w:p w14:paraId="53D641DA" w14:textId="50C85563" w:rsidR="0066781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  <w:r w:rsidR="0066781D">
        <w:rPr>
          <w:rStyle w:val="ac"/>
          <w:color w:val="000000" w:themeColor="text1"/>
          <w:sz w:val="28"/>
          <w:szCs w:val="28"/>
        </w:rPr>
        <w:footnoteReference w:id="4"/>
      </w:r>
    </w:p>
    <w:p w14:paraId="55D08FA3" w14:textId="77777777" w:rsidR="0066781D" w:rsidRPr="0066781D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E07436" w14:paraId="02C1C338" w14:textId="77777777" w:rsidTr="00230CCD">
        <w:tc>
          <w:tcPr>
            <w:tcW w:w="648" w:type="dxa"/>
          </w:tcPr>
          <w:p w14:paraId="797A3EB7" w14:textId="423E8B7C" w:rsidR="006859F9" w:rsidRPr="00E07436" w:rsidRDefault="006859F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E07436">
              <w:rPr>
                <w:rStyle w:val="tx1"/>
                <w:b w:val="0"/>
                <w:strike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E07436" w:rsidRDefault="006859F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E07436">
              <w:rPr>
                <w:rStyle w:val="tx1"/>
                <w:b w:val="0"/>
                <w:strike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3D88B289" w:rsidR="006859F9" w:rsidRPr="00E07436" w:rsidRDefault="00AE776F" w:rsidP="00230CCD">
            <w:pPr>
              <w:rPr>
                <w:strike/>
                <w:color w:val="000000" w:themeColor="text1"/>
              </w:rPr>
            </w:pPr>
            <w:r w:rsidRPr="00E07436">
              <w:rPr>
                <w:strike/>
                <w:color w:val="000000" w:themeColor="text1"/>
              </w:rPr>
              <w:t>комплексные посещения школы сахарного диабета</w:t>
            </w:r>
            <w:r w:rsidR="00E07436" w:rsidRPr="00E07436">
              <w:rPr>
                <w:rStyle w:val="ac"/>
                <w:color w:val="000000" w:themeColor="text1"/>
              </w:rPr>
              <w:footnoteReference w:id="5"/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E07436" w14:paraId="07F67508" w14:textId="77777777" w:rsidTr="00230CCD">
        <w:tc>
          <w:tcPr>
            <w:tcW w:w="648" w:type="dxa"/>
          </w:tcPr>
          <w:p w14:paraId="0859B0F1" w14:textId="22B1A312" w:rsidR="000A4E0A" w:rsidRPr="00E07436" w:rsidRDefault="000A4E0A" w:rsidP="000A4E0A">
            <w:pPr>
              <w:rPr>
                <w:rStyle w:val="tx1"/>
                <w:b w:val="0"/>
                <w:strike/>
                <w:color w:val="000000" w:themeColor="text1"/>
                <w:lang w:val="en-US"/>
              </w:rPr>
            </w:pPr>
            <w:r w:rsidRPr="00E07436">
              <w:rPr>
                <w:strike/>
              </w:rPr>
              <w:t>1.6</w:t>
            </w:r>
          </w:p>
        </w:tc>
        <w:tc>
          <w:tcPr>
            <w:tcW w:w="5400" w:type="dxa"/>
          </w:tcPr>
          <w:p w14:paraId="73E5CD03" w14:textId="13C9B1D9" w:rsidR="000A4E0A" w:rsidRPr="00E07436" w:rsidRDefault="000A4E0A" w:rsidP="000A4E0A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E07436">
              <w:rPr>
                <w:strike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27850785" w:rsidR="000A4E0A" w:rsidRPr="00E07436" w:rsidRDefault="000A4E0A" w:rsidP="000A4E0A">
            <w:pPr>
              <w:rPr>
                <w:strike/>
                <w:color w:val="000000" w:themeColor="text1"/>
              </w:rPr>
            </w:pPr>
            <w:r w:rsidRPr="00E07436">
              <w:rPr>
                <w:strike/>
              </w:rPr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  <w:r w:rsidR="00E07436" w:rsidRPr="00E07436">
              <w:rPr>
                <w:rStyle w:val="ac"/>
              </w:rPr>
              <w:footnoteReference w:id="6"/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lastRenderedPageBreak/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комплексные посещения для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0B2EC9" w:rsidRPr="00E07436" w14:paraId="53CFF418" w14:textId="77777777" w:rsidTr="00230CCD">
        <w:tc>
          <w:tcPr>
            <w:tcW w:w="648" w:type="dxa"/>
          </w:tcPr>
          <w:p w14:paraId="3ADD623C" w14:textId="286BBFA3" w:rsidR="000B2EC9" w:rsidRPr="00E07436" w:rsidRDefault="000B2EC9" w:rsidP="000B2EC9">
            <w:pPr>
              <w:rPr>
                <w:strike/>
              </w:rPr>
            </w:pPr>
            <w:r w:rsidRPr="00E07436">
              <w:rPr>
                <w:strike/>
              </w:rPr>
              <w:t>1.9</w:t>
            </w:r>
          </w:p>
        </w:tc>
        <w:tc>
          <w:tcPr>
            <w:tcW w:w="5400" w:type="dxa"/>
          </w:tcPr>
          <w:p w14:paraId="5A0E7BC0" w14:textId="48A38C15" w:rsidR="000B2EC9" w:rsidRPr="00E07436" w:rsidRDefault="000B2EC9" w:rsidP="000B2EC9">
            <w:pPr>
              <w:rPr>
                <w:strike/>
              </w:rPr>
            </w:pPr>
            <w:r w:rsidRPr="00E07436">
              <w:rPr>
                <w:strike/>
              </w:rPr>
              <w:t>Посещение в рамках школы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78AE5A6D" w14:textId="3181CCBB" w:rsidR="000B2EC9" w:rsidRPr="00E07436" w:rsidRDefault="000B2EC9" w:rsidP="000B2EC9">
            <w:pPr>
              <w:rPr>
                <w:strike/>
              </w:rPr>
            </w:pPr>
            <w:r w:rsidRPr="00E07436">
              <w:rPr>
                <w:strike/>
              </w:rPr>
              <w:t xml:space="preserve">комплексные посещения школы для больных с хроническими заболеваниями </w:t>
            </w:r>
            <w:r w:rsidRPr="00E07436">
              <w:rPr>
                <w:rStyle w:val="ac"/>
                <w:strike/>
              </w:rPr>
              <w:footnoteReference w:id="7"/>
            </w:r>
          </w:p>
        </w:tc>
      </w:tr>
      <w:tr w:rsidR="00E07436" w:rsidRPr="00630375" w14:paraId="1C9C0668" w14:textId="77777777" w:rsidTr="00863D90">
        <w:tc>
          <w:tcPr>
            <w:tcW w:w="648" w:type="dxa"/>
          </w:tcPr>
          <w:p w14:paraId="41F04CCE" w14:textId="77777777" w:rsidR="00E07436" w:rsidRPr="00630375" w:rsidRDefault="00E07436" w:rsidP="00863D90">
            <w:pPr>
              <w:rPr>
                <w:bCs/>
                <w:color w:val="000000" w:themeColor="text1"/>
                <w:lang w:val="en-US"/>
              </w:rPr>
            </w:pPr>
            <w:r w:rsidRPr="00630375">
              <w:rPr>
                <w:bCs/>
                <w:color w:val="000000" w:themeColor="text1"/>
                <w:lang w:val="en-US"/>
              </w:rPr>
              <w:t>1.9</w:t>
            </w:r>
          </w:p>
        </w:tc>
        <w:tc>
          <w:tcPr>
            <w:tcW w:w="5400" w:type="dxa"/>
          </w:tcPr>
          <w:p w14:paraId="3ABF47DD" w14:textId="77777777" w:rsidR="00E07436" w:rsidRPr="0049070B" w:rsidRDefault="00E07436" w:rsidP="00863D90">
            <w:pPr>
              <w:rPr>
                <w:bCs/>
                <w:color w:val="000000" w:themeColor="text1"/>
              </w:rPr>
            </w:pPr>
            <w:r w:rsidRPr="0049070B">
              <w:rPr>
                <w:bCs/>
                <w:color w:val="000000" w:themeColor="text1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734B8A2" w14:textId="60F3B429" w:rsidR="00E07436" w:rsidRPr="0049070B" w:rsidRDefault="00E07436" w:rsidP="00863D90">
            <w:pPr>
              <w:rPr>
                <w:bCs/>
                <w:color w:val="000000" w:themeColor="text1"/>
              </w:rPr>
            </w:pPr>
            <w:r w:rsidRPr="0049070B">
              <w:rPr>
                <w:bCs/>
                <w:color w:val="000000" w:themeColor="text1"/>
              </w:rPr>
              <w:t>комплексные посещения школы для больных с хроническими заболеваниями, в том числе школы сахарного диабета</w:t>
            </w:r>
            <w:r>
              <w:rPr>
                <w:rStyle w:val="ac"/>
                <w:bCs/>
                <w:color w:val="000000" w:themeColor="text1"/>
              </w:rPr>
              <w:footnoteReference w:id="8"/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CB070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</w:t>
            </w:r>
            <w:r w:rsidRPr="00BD689B">
              <w:rPr>
                <w:strike/>
                <w:color w:val="000000" w:themeColor="text1"/>
              </w:rPr>
              <w:t>повторное посещение в Центре здоровья</w:t>
            </w:r>
            <w:r w:rsidR="00BD689B">
              <w:rPr>
                <w:rStyle w:val="ac"/>
                <w:strike/>
                <w:color w:val="000000" w:themeColor="text1"/>
              </w:rPr>
              <w:footnoteReference w:id="9"/>
            </w:r>
            <w:r w:rsidRPr="009B22D5">
              <w:rPr>
                <w:color w:val="000000" w:themeColor="text1"/>
              </w:rPr>
              <w:t>)</w:t>
            </w:r>
          </w:p>
        </w:tc>
      </w:tr>
      <w:tr w:rsidR="000B2EC9" w:rsidRPr="009B22D5" w14:paraId="1D29C1BD" w14:textId="77777777" w:rsidTr="00230CCD">
        <w:tc>
          <w:tcPr>
            <w:tcW w:w="648" w:type="dxa"/>
          </w:tcPr>
          <w:p w14:paraId="5D905E62" w14:textId="275CF4EF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2.7</w:t>
            </w:r>
          </w:p>
        </w:tc>
        <w:tc>
          <w:tcPr>
            <w:tcW w:w="5400" w:type="dxa"/>
          </w:tcPr>
          <w:p w14:paraId="0681B0B8" w14:textId="342D3BC8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653186" w14:textId="360095E7" w:rsidR="000B2EC9" w:rsidRPr="009B22D5" w:rsidRDefault="000B2EC9" w:rsidP="000B2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E3005">
              <w:t>повторное посещение в Центре здоровья</w:t>
            </w:r>
            <w:r>
              <w:rPr>
                <w:rStyle w:val="ac"/>
              </w:rPr>
              <w:footnoteReference w:id="10"/>
            </w:r>
          </w:p>
        </w:tc>
      </w:tr>
      <w:tr w:rsidR="00E07436" w:rsidRPr="00630375" w14:paraId="6CE72342" w14:textId="77777777" w:rsidTr="00863D90">
        <w:tc>
          <w:tcPr>
            <w:tcW w:w="648" w:type="dxa"/>
          </w:tcPr>
          <w:p w14:paraId="3E3A2FF8" w14:textId="77777777" w:rsidR="00E07436" w:rsidRPr="000553CC" w:rsidRDefault="00E07436" w:rsidP="00863D9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2.8</w:t>
            </w:r>
          </w:p>
        </w:tc>
        <w:tc>
          <w:tcPr>
            <w:tcW w:w="5400" w:type="dxa"/>
          </w:tcPr>
          <w:p w14:paraId="594F19DB" w14:textId="77777777" w:rsidR="00E07436" w:rsidRPr="0049070B" w:rsidRDefault="00E07436" w:rsidP="00863D90">
            <w:pPr>
              <w:rPr>
                <w:bCs/>
                <w:color w:val="000000" w:themeColor="text1"/>
              </w:rPr>
            </w:pPr>
            <w:r w:rsidRPr="000553CC">
              <w:rPr>
                <w:bCs/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4A9FBB74" w14:textId="6D74C590" w:rsidR="00E07436" w:rsidRPr="0049070B" w:rsidRDefault="00E07436" w:rsidP="00863D90">
            <w:pPr>
              <w:rPr>
                <w:bCs/>
                <w:color w:val="000000" w:themeColor="text1"/>
              </w:rPr>
            </w:pPr>
            <w:r w:rsidRPr="000553CC">
              <w:rPr>
                <w:bCs/>
                <w:color w:val="000000" w:themeColor="text1"/>
              </w:rPr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  <w:r>
              <w:rPr>
                <w:rStyle w:val="ac"/>
                <w:bCs/>
                <w:color w:val="000000" w:themeColor="text1"/>
              </w:rPr>
              <w:footnoteReference w:id="11"/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lastRenderedPageBreak/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lastRenderedPageBreak/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7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7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6781D" w:rsidRPr="009B22D5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9.1</w:t>
            </w:r>
          </w:p>
        </w:tc>
        <w:tc>
          <w:tcPr>
            <w:tcW w:w="5400" w:type="dxa"/>
          </w:tcPr>
          <w:p w14:paraId="79601DD7" w14:textId="0E95A435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посещения с иной целью в амбулаторных условиях</w:t>
            </w:r>
          </w:p>
        </w:tc>
        <w:tc>
          <w:tcPr>
            <w:tcW w:w="3416" w:type="dxa"/>
          </w:tcPr>
          <w:p w14:paraId="7765B95D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9.2</w:t>
            </w:r>
          </w:p>
        </w:tc>
        <w:tc>
          <w:tcPr>
            <w:tcW w:w="5400" w:type="dxa"/>
          </w:tcPr>
          <w:p w14:paraId="703C5A72" w14:textId="68E6607A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9.3</w:t>
            </w:r>
          </w:p>
        </w:tc>
        <w:tc>
          <w:tcPr>
            <w:tcW w:w="5400" w:type="dxa"/>
          </w:tcPr>
          <w:p w14:paraId="2329FA4D" w14:textId="26EA8829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9.4</w:t>
            </w:r>
          </w:p>
        </w:tc>
        <w:tc>
          <w:tcPr>
            <w:tcW w:w="5400" w:type="dxa"/>
          </w:tcPr>
          <w:p w14:paraId="29CB9F50" w14:textId="6F58AB94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9.5</w:t>
            </w:r>
          </w:p>
        </w:tc>
        <w:tc>
          <w:tcPr>
            <w:tcW w:w="5400" w:type="dxa"/>
          </w:tcPr>
          <w:p w14:paraId="2CA3FF34" w14:textId="69370370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законченного случая в стационарных условия</w:t>
            </w:r>
            <w:r>
              <w:t>х</w:t>
            </w:r>
          </w:p>
        </w:tc>
        <w:tc>
          <w:tcPr>
            <w:tcW w:w="3416" w:type="dxa"/>
          </w:tcPr>
          <w:p w14:paraId="2A824795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lastRenderedPageBreak/>
              <w:t>9.6</w:t>
            </w:r>
          </w:p>
        </w:tc>
        <w:tc>
          <w:tcPr>
            <w:tcW w:w="5400" w:type="dxa"/>
          </w:tcPr>
          <w:p w14:paraId="0FED61FB" w14:textId="1DC94146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законченного случая в условиях дневного стационара</w:t>
            </w:r>
            <w:r>
              <w:rPr>
                <w:rStyle w:val="ac"/>
              </w:rPr>
              <w:footnoteReference w:id="12"/>
            </w:r>
          </w:p>
        </w:tc>
        <w:tc>
          <w:tcPr>
            <w:tcW w:w="3416" w:type="dxa"/>
          </w:tcPr>
          <w:p w14:paraId="20D49621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404631B4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  <w:r w:rsidR="00751184">
        <w:rPr>
          <w:rStyle w:val="ac"/>
          <w:strike/>
          <w:color w:val="000000" w:themeColor="text1"/>
          <w:sz w:val="28"/>
        </w:rPr>
        <w:footnoteReference w:id="13"/>
      </w:r>
    </w:p>
    <w:p w14:paraId="54D6B0A4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19173D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19173D">
        <w:rPr>
          <w:strike/>
          <w:color w:val="000000" w:themeColor="text1"/>
          <w:sz w:val="28"/>
        </w:rPr>
        <w:lastRenderedPageBreak/>
        <w:t>- «P_CEL» = 2.3 - Комплексное обследование;</w:t>
      </w:r>
    </w:p>
    <w:p w14:paraId="739455D5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19173D">
        <w:rPr>
          <w:strike/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strike/>
          <w:color w:val="000000" w:themeColor="text1"/>
          <w:sz w:val="28"/>
        </w:rPr>
        <w:t xml:space="preserve">- </w:t>
      </w:r>
      <w:r w:rsidRPr="0019173D">
        <w:rPr>
          <w:rFonts w:eastAsiaTheme="minorHAnsi"/>
          <w:strike/>
          <w:sz w:val="28"/>
          <w:szCs w:val="28"/>
          <w:lang w:eastAsia="en-US"/>
        </w:rPr>
        <w:t>B04.070.003.001 «Проведение врачом/фельдшером индивидуального углубленного профилактического консультирования»;</w:t>
      </w:r>
    </w:p>
    <w:p w14:paraId="5043DC42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A01.30.026.002 «Анкетирование пациента по теме ЗОЖ»;</w:t>
      </w:r>
    </w:p>
    <w:p w14:paraId="5665AD09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A01.30.026.003 «Анкетирование пациента по вопросам питания»;</w:t>
      </w:r>
    </w:p>
    <w:p w14:paraId="15AC230A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A05.30.014.001 «Проведение биоимпедансометрии»;</w:t>
      </w:r>
    </w:p>
    <w:p w14:paraId="07C8F846" w14:textId="33D94292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A02.07.004.00</w:t>
      </w:r>
      <w:r w:rsidR="0018023D" w:rsidRPr="0019173D">
        <w:rPr>
          <w:rFonts w:eastAsiaTheme="minorHAnsi"/>
          <w:strike/>
          <w:sz w:val="28"/>
          <w:szCs w:val="28"/>
          <w:lang w:eastAsia="en-US"/>
        </w:rPr>
        <w:t>2</w:t>
      </w:r>
      <w:r w:rsidRPr="0019173D">
        <w:rPr>
          <w:rFonts w:eastAsiaTheme="minorHAnsi"/>
          <w:strike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A02.02.003.001 «Проведение динамометрии»;</w:t>
      </w:r>
    </w:p>
    <w:p w14:paraId="684B3631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A02.30.007.001 «Проведение исследования при помощи смокелайзера»;</w:t>
      </w:r>
    </w:p>
    <w:p w14:paraId="286AE479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A12.09.002.101 «Проведение спирометрии»;</w:t>
      </w:r>
    </w:p>
    <w:p w14:paraId="27CBB44D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A12.09.005 «Проведение пульсоксиметрии/применение ангиоскана»;</w:t>
      </w:r>
    </w:p>
    <w:p w14:paraId="4CD0A63E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B04.070.003.002 «Разработка врачом/фельдшером программы по ЗОЖ, ее разъяснение»;</w:t>
      </w:r>
    </w:p>
    <w:p w14:paraId="7B86822B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B04.070.003.003 «Разработка врачом/фельдшером рекомендации по здоровому питанию, их разъяснение»;</w:t>
      </w:r>
    </w:p>
    <w:p w14:paraId="723CB02B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1D3F47E7" w14:textId="77777777" w:rsidR="007F3D6A" w:rsidRPr="0019173D" w:rsidRDefault="007F3D6A" w:rsidP="007F3D6A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 xml:space="preserve">- </w:t>
      </w:r>
      <w:r w:rsidRPr="0019173D">
        <w:rPr>
          <w:strike/>
          <w:color w:val="000000" w:themeColor="text1"/>
          <w:sz w:val="28"/>
          <w:szCs w:val="28"/>
        </w:rPr>
        <w:t>«</w:t>
      </w:r>
      <w:r w:rsidRPr="0019173D">
        <w:rPr>
          <w:strike/>
          <w:color w:val="000000" w:themeColor="text1"/>
          <w:sz w:val="28"/>
          <w:szCs w:val="28"/>
          <w:lang w:val="en-US"/>
        </w:rPr>
        <w:t>TARIF</w:t>
      </w:r>
      <w:r w:rsidRPr="0019173D">
        <w:rPr>
          <w:strike/>
          <w:color w:val="000000" w:themeColor="text1"/>
          <w:sz w:val="28"/>
          <w:szCs w:val="28"/>
        </w:rPr>
        <w:t>» = 0».</w:t>
      </w:r>
    </w:p>
    <w:p w14:paraId="1FB61A26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В случае, если какое-либо мероприятие в рамках комплексного обследования в центрах здоровья не проводилось, сведения о его проведении в реестре-счета не отражаются.</w:t>
      </w:r>
    </w:p>
    <w:p w14:paraId="55FFE3E5" w14:textId="5882045B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  <w:r w:rsidRPr="0019173D">
        <w:rPr>
          <w:rStyle w:val="ac"/>
          <w:rFonts w:eastAsiaTheme="minorHAnsi"/>
          <w:strike/>
          <w:sz w:val="28"/>
          <w:szCs w:val="28"/>
          <w:lang w:eastAsia="en-US"/>
        </w:rPr>
        <w:footnoteReference w:id="14"/>
      </w:r>
    </w:p>
    <w:p w14:paraId="6BC6753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5) при включении в реестр счета комплексного обследования в Центре здоровья 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элементов:</w:t>
      </w:r>
    </w:p>
    <w:p w14:paraId="378C228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 = 2.3 - Комплексное обследование;</w:t>
      </w:r>
    </w:p>
    <w:p w14:paraId="1615D45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5E7FB6A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648F864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lastRenderedPageBreak/>
        <w:t>- A01.30.026.002 «Анкетирование пациента по теме ЗОЖ»;</w:t>
      </w:r>
    </w:p>
    <w:p w14:paraId="711F288F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5363DCD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A05.30.014.001 «Проведение биоимпедансометрии»;</w:t>
      </w:r>
    </w:p>
    <w:p w14:paraId="391B73A1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A02.07.004.002 «Проведение антропометрии (рост, вес, окружность талии)»;</w:t>
      </w:r>
    </w:p>
    <w:p w14:paraId="6D2FAD52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A02.02.003.001 «Проведение динамометрии»;</w:t>
      </w:r>
    </w:p>
    <w:p w14:paraId="591907B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A02.30.007.001 «Проведение исследования при помощи смокелайзера»;</w:t>
      </w:r>
    </w:p>
    <w:p w14:paraId="3049EB19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A12.09.002.101 «Проведение спирометрии»;</w:t>
      </w:r>
    </w:p>
    <w:p w14:paraId="1ECCDBF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A12.09.005 «Проведение пульсоксиметрии/применение ангиоскана»;</w:t>
      </w:r>
    </w:p>
    <w:p w14:paraId="341FBAA5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404827F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2B31979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2890DDBC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58974E6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При включении в реестр счета комплексного обследования в Центре здоровья (в сочетании с кодом услуги B03.047.002.002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технологий») обязательно заполнение элементов:</w:t>
      </w:r>
    </w:p>
    <w:p w14:paraId="3FA704AE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 = 2.3 - Комплексное обследование;</w:t>
      </w:r>
    </w:p>
    <w:p w14:paraId="056B637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03D2FD4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504A9595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A01.30.026.002 «Анкетирование пациента по теме ЗОЖ»;</w:t>
      </w:r>
    </w:p>
    <w:p w14:paraId="58594F5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7545B11E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0DA8B70D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1C83179C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6C2D83C0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292452E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При включении в реестр счета комплексного обследования в Центре здоровья (в сочетании с кодом услуги B03.047.002.003 «Групповое углубленное профилактическое консультирование в центре здоровья для взрослых, в том числе с применением телемедицинских технологий») обязательно заполнение элементов:</w:t>
      </w:r>
    </w:p>
    <w:p w14:paraId="718D9FB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lastRenderedPageBreak/>
        <w:t>- «P_CEL» = 2.3 - Комплексное обследование;</w:t>
      </w:r>
    </w:p>
    <w:p w14:paraId="61351EF9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4DF21B1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B04.070.005.001 «Проведение врачом/фельдшером группового углубленного профилактического консультирования»;</w:t>
      </w:r>
    </w:p>
    <w:p w14:paraId="5C05F2A8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6B3B04CD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Комплексное обследование в Центре здоровья предъявляется к оплате только в случае выполнения всех услуг, входящих в состав комплексного посещения. Исключением является услуга B04.070.003.004 «Установка мобильного приложения на смартфон пациента с помощью медицинской сестры и обучение пациента работе с приложением».</w:t>
      </w:r>
    </w:p>
    <w:p w14:paraId="52340A48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0EEE06DB" w14:textId="317B55E2" w:rsidR="0019173D" w:rsidRPr="0019173D" w:rsidRDefault="000A46B9" w:rsidP="000A46B9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0A46B9">
        <w:rPr>
          <w:color w:val="000000" w:themeColor="text1"/>
          <w:sz w:val="28"/>
        </w:rPr>
        <w:t>При предъявлении к оплате счетов и реестров счетов на оплату медицинской помощи, оказанной в Центре здоровья, обязательно заполняется элемент «LPU_1» в соответствии со справочником F033 «Справочник структурных подразделений медицинских организаций (SPMO)» кодом структурного подразделения медицинской организации, соответствующим Центру здоровья.</w:t>
      </w:r>
      <w:r w:rsidR="0019173D">
        <w:rPr>
          <w:rStyle w:val="ac"/>
          <w:color w:val="000000" w:themeColor="text1"/>
          <w:sz w:val="28"/>
        </w:rPr>
        <w:footnoteReference w:id="15"/>
      </w:r>
    </w:p>
    <w:p w14:paraId="737DDB19" w14:textId="48E913D5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3ADD6E40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 xml:space="preserve">) </w:t>
      </w:r>
      <w:r w:rsidR="00167DEC" w:rsidRPr="0019173D">
        <w:rPr>
          <w:strike/>
          <w:color w:val="000000" w:themeColor="text1"/>
          <w:sz w:val="28"/>
        </w:rPr>
        <w:t>при проведении диспансеризации взрослого населения в</w:t>
      </w:r>
      <w:r w:rsidR="00167DEC" w:rsidRPr="0019173D">
        <w:rPr>
          <w:strike/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19173D">
        <w:rPr>
          <w:strike/>
          <w:color w:val="000000" w:themeColor="text1"/>
          <w:sz w:val="28"/>
          <w:szCs w:val="28"/>
        </w:rPr>
        <w:t>;</w:t>
      </w:r>
      <w:r w:rsidR="0019173D" w:rsidRPr="000A46B9">
        <w:rPr>
          <w:rStyle w:val="ac"/>
          <w:color w:val="000000" w:themeColor="text1"/>
          <w:sz w:val="28"/>
          <w:szCs w:val="28"/>
        </w:rPr>
        <w:footnoteReference w:id="16"/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D52E9F" w:rsidRPr="009B22D5">
        <w:rPr>
          <w:color w:val="000000" w:themeColor="text1"/>
          <w:sz w:val="28"/>
        </w:rPr>
        <w:t xml:space="preserve"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</w:t>
      </w:r>
      <w:r w:rsidR="00D52E9F" w:rsidRPr="009B22D5">
        <w:rPr>
          <w:color w:val="000000" w:themeColor="text1"/>
          <w:sz w:val="28"/>
        </w:rPr>
        <w:lastRenderedPageBreak/>
        <w:t>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856BA9" w:rsidRPr="009B22D5">
        <w:rPr>
          <w:color w:val="000000" w:themeColor="text1"/>
          <w:sz w:val="28"/>
        </w:rPr>
        <w:t xml:space="preserve"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</w:t>
      </w:r>
      <w:r w:rsidR="00856BA9" w:rsidRPr="009B22D5">
        <w:rPr>
          <w:color w:val="000000" w:themeColor="text1"/>
          <w:sz w:val="28"/>
        </w:rPr>
        <w:lastRenderedPageBreak/>
        <w:t>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 xml:space="preserve"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</w:t>
      </w:r>
      <w:r w:rsidR="00DF459B" w:rsidRPr="009B22D5">
        <w:rPr>
          <w:color w:val="000000" w:themeColor="text1"/>
          <w:sz w:val="28"/>
        </w:rPr>
        <w:lastRenderedPageBreak/>
        <w:t>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10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10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8DCD2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186A9A">
        <w:rPr>
          <w:color w:val="000000" w:themeColor="text1"/>
          <w:sz w:val="28"/>
          <w:szCs w:val="28"/>
        </w:rPr>
        <w:t>.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11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11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в течение текущего календарного года проводилось цитологическое исследование мазка с шейки матки, то услуга отражается с </w:t>
      </w:r>
      <w:r w:rsidRPr="009B22D5">
        <w:rPr>
          <w:color w:val="000000" w:themeColor="text1"/>
          <w:sz w:val="28"/>
          <w:szCs w:val="28"/>
        </w:rPr>
        <w:lastRenderedPageBreak/>
        <w:t>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106C74E6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2BCD44B1" w14:textId="77777777" w:rsidR="00A961D5" w:rsidRDefault="00A961D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3EE2258E" w14:textId="77777777" w:rsidR="000B2EC9" w:rsidRDefault="000B2EC9" w:rsidP="000B2EC9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или </w:t>
      </w:r>
      <w:r w:rsidRPr="00371A53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ого</w:t>
      </w:r>
      <w:r w:rsidRPr="00371A53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</w:t>
      </w:r>
      <w:r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>
        <w:rPr>
          <w:color w:val="000000" w:themeColor="text1"/>
          <w:sz w:val="28"/>
        </w:rPr>
        <w:t>с</w:t>
      </w:r>
      <w:r w:rsidRPr="00371A53">
        <w:rPr>
          <w:color w:val="000000" w:themeColor="text1"/>
          <w:sz w:val="28"/>
        </w:rPr>
        <w:t>твенного интеллекта</w:t>
      </w:r>
      <w:r>
        <w:rPr>
          <w:color w:val="000000" w:themeColor="text1"/>
          <w:sz w:val="28"/>
        </w:rPr>
        <w:t>,</w:t>
      </w:r>
      <w:r w:rsidRPr="00371A5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оплата комплексного посещения осуществляется по тарифам</w:t>
      </w:r>
      <w:r w:rsidRPr="003C1C4C">
        <w:t xml:space="preserve"> </w:t>
      </w:r>
      <w:r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Pr="00831D99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831D99">
        <w:rPr>
          <w:color w:val="000000" w:themeColor="text1"/>
          <w:sz w:val="28"/>
        </w:rPr>
        <w:t xml:space="preserve"> № 1/2025</w:t>
      </w:r>
      <w:r>
        <w:rPr>
          <w:color w:val="000000" w:themeColor="text1"/>
          <w:sz w:val="28"/>
        </w:rPr>
        <w:t>.</w:t>
      </w:r>
    </w:p>
    <w:p w14:paraId="447B07AC" w14:textId="687F954B" w:rsidR="000B2EC9" w:rsidRDefault="000B2EC9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  <w:r>
        <w:rPr>
          <w:rStyle w:val="ac"/>
          <w:color w:val="000000" w:themeColor="text1"/>
          <w:sz w:val="28"/>
        </w:rPr>
        <w:footnoteReference w:id="17"/>
      </w:r>
    </w:p>
    <w:p w14:paraId="018F58FC" w14:textId="77777777" w:rsidR="0048398B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A44ADBB" w14:textId="25867625" w:rsidR="0048398B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Направление на </w:t>
      </w:r>
      <w:r w:rsidRPr="00FC4BB4">
        <w:rPr>
          <w:color w:val="000000" w:themeColor="text1"/>
          <w:sz w:val="28"/>
        </w:rPr>
        <w:t>диагностически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 (</w:t>
      </w:r>
      <w:r w:rsidRPr="00536C9D">
        <w:rPr>
          <w:color w:val="000000" w:themeColor="text1"/>
          <w:sz w:val="28"/>
        </w:rPr>
        <w:t>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магнитно-резонансн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ультразвуково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сердечно-сосудистой системы, эндоскопически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>, молекулярно-генетически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и патолого-анатомически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терапии,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компьютерной томографией,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компьютерной томографией</w:t>
      </w:r>
      <w:r>
        <w:rPr>
          <w:color w:val="000000" w:themeColor="text1"/>
          <w:sz w:val="28"/>
        </w:rPr>
        <w:t>)</w:t>
      </w:r>
      <w:r w:rsidRPr="00FC4BB4">
        <w:rPr>
          <w:color w:val="000000" w:themeColor="text1"/>
          <w:sz w:val="28"/>
        </w:rPr>
        <w:t>, включенны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в норматив Территориальной программы обязательного медицинского страхования в Камчатском крае</w:t>
      </w:r>
      <w:r>
        <w:rPr>
          <w:color w:val="000000" w:themeColor="text1"/>
          <w:sz w:val="28"/>
        </w:rPr>
        <w:t>, и их оплата в рамках диспансеризации и профилактических осмотров, осуществляется только по договору в порядке межучрежденческих расчетов в соответствии с пунктом 3.4.2.3 Соглашения № 1/2025.</w:t>
      </w:r>
      <w:r>
        <w:rPr>
          <w:rStyle w:val="ac"/>
          <w:color w:val="000000" w:themeColor="text1"/>
          <w:sz w:val="28"/>
        </w:rPr>
        <w:footnoteReference w:id="18"/>
      </w:r>
    </w:p>
    <w:p w14:paraId="326F3D36" w14:textId="708C1D4D" w:rsidR="00E07436" w:rsidRDefault="00E07436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4A4D0743" w14:textId="2CA411F2" w:rsidR="00E07436" w:rsidRPr="00E07436" w:rsidRDefault="00E07436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E07436">
        <w:rPr>
          <w:color w:val="000000" w:themeColor="text1"/>
          <w:sz w:val="28"/>
        </w:rPr>
        <w:t>При проведении профилактического медицинского осмотра или диспансеризации несовершеннолетних в элементе «COMENTSL» указывается возраст, соответствующий набору услуг. При этом к количеству месяцев добавляется символ «м» (пример: 0м, 1м, ... ,12м,15м,18м, 2, 3, ... ,16,17).</w:t>
      </w:r>
      <w:r>
        <w:rPr>
          <w:rStyle w:val="ac"/>
          <w:color w:val="000000" w:themeColor="text1"/>
          <w:sz w:val="28"/>
        </w:rPr>
        <w:footnoteReference w:id="19"/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</w:t>
      </w:r>
      <w:r w:rsidRPr="009B22D5">
        <w:rPr>
          <w:color w:val="000000" w:themeColor="text1"/>
          <w:sz w:val="28"/>
          <w:szCs w:val="28"/>
        </w:rPr>
        <w:lastRenderedPageBreak/>
        <w:t xml:space="preserve">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>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lastRenderedPageBreak/>
        <w:t>При этом межучрежденческие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20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</w:t>
      </w:r>
      <w:r w:rsidRPr="009B22D5">
        <w:rPr>
          <w:color w:val="000000" w:themeColor="text1"/>
          <w:sz w:val="28"/>
          <w:szCs w:val="28"/>
        </w:rPr>
        <w:lastRenderedPageBreak/>
        <w:t>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ГБУЗ «Камчатский краевой родильный дом» в течение месяца направляет в медицинскую организацию, к которой прикреплено </w:t>
      </w:r>
      <w:r w:rsidRPr="009B22D5">
        <w:rPr>
          <w:color w:val="000000" w:themeColor="text1"/>
          <w:sz w:val="28"/>
          <w:szCs w:val="28"/>
        </w:rPr>
        <w:lastRenderedPageBreak/>
        <w:t>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 xml:space="preserve"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</w:t>
      </w:r>
      <w:r w:rsidR="00FB690F" w:rsidRPr="009B22D5">
        <w:rPr>
          <w:color w:val="000000" w:themeColor="text1"/>
          <w:sz w:val="28"/>
        </w:rPr>
        <w:lastRenderedPageBreak/>
        <w:t>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13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13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14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4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660ABD" w:rsidRPr="009B22D5">
        <w:rPr>
          <w:color w:val="000000" w:themeColor="text1"/>
          <w:sz w:val="28"/>
        </w:rPr>
        <w:t xml:space="preserve"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</w:t>
      </w:r>
      <w:r w:rsidR="00660ABD" w:rsidRPr="009B22D5">
        <w:rPr>
          <w:color w:val="000000" w:themeColor="text1"/>
          <w:sz w:val="28"/>
        </w:rPr>
        <w:lastRenderedPageBreak/>
        <w:t>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</w:t>
      </w:r>
      <w:r w:rsidRPr="009B22D5">
        <w:rPr>
          <w:color w:val="000000" w:themeColor="text1"/>
          <w:sz w:val="28"/>
        </w:rPr>
        <w:lastRenderedPageBreak/>
        <w:t>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9B22D5">
        <w:rPr>
          <w:color w:val="000000" w:themeColor="text1"/>
          <w:sz w:val="28"/>
          <w:szCs w:val="28"/>
        </w:rPr>
        <w:t>=</w:t>
      </w:r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5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5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«IDSP»=31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21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6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6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22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7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7"/>
      <w:r w:rsidRPr="009B22D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8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8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</w:t>
      </w:r>
      <w:r w:rsidRPr="009B22D5">
        <w:rPr>
          <w:color w:val="000000" w:themeColor="text1"/>
          <w:sz w:val="28"/>
          <w:szCs w:val="28"/>
        </w:rPr>
        <w:lastRenderedPageBreak/>
        <w:t>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23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участник специальной военной операции (СВО), уволенный в запас (отставку)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r w:rsidRPr="002103C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2D7AAA1" w:rsidR="00AD336F" w:rsidRPr="00A70090" w:rsidRDefault="00AD336F" w:rsidP="00AD336F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>5.13</w:t>
      </w:r>
      <w:r w:rsidRPr="00A70090">
        <w:rPr>
          <w:strike/>
          <w:color w:val="000000" w:themeColor="text1"/>
          <w:sz w:val="28"/>
        </w:rPr>
        <w:t>.  При формировании реестров счетов на оплату медицинской помощи медицинскими организациями, включенными в перечень медицинских организаций по пункту 5.14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учитываются следующие особенности:</w:t>
      </w:r>
    </w:p>
    <w:p w14:paraId="56B9C637" w14:textId="2B783830" w:rsidR="00A70090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</w:t>
      </w:r>
      <w:r w:rsidRPr="00A03B3B">
        <w:rPr>
          <w:color w:val="000000" w:themeColor="text1"/>
          <w:sz w:val="28"/>
        </w:rPr>
        <w:t xml:space="preserve">Камчатский краевой </w:t>
      </w:r>
      <w:r w:rsidRPr="00A03B3B">
        <w:rPr>
          <w:color w:val="000000" w:themeColor="text1"/>
          <w:sz w:val="28"/>
        </w:rPr>
        <w:lastRenderedPageBreak/>
        <w:t>кардиологический диспансер</w:t>
      </w:r>
      <w:r>
        <w:rPr>
          <w:color w:val="000000" w:themeColor="text1"/>
          <w:sz w:val="28"/>
        </w:rPr>
        <w:t xml:space="preserve">» и профиля «ревматология» в  </w:t>
      </w:r>
      <w:r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>
        <w:rPr>
          <w:rStyle w:val="ac"/>
          <w:color w:val="000000" w:themeColor="text1"/>
          <w:sz w:val="28"/>
        </w:rPr>
        <w:footnoteReference w:id="24"/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МО-фондодержателя</w:t>
      </w:r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</w:t>
      </w:r>
      <w:r w:rsidRPr="00A05187">
        <w:rPr>
          <w:color w:val="000000" w:themeColor="text1"/>
          <w:sz w:val="28"/>
        </w:rPr>
        <w:t xml:space="preserve">в части посещений с иной </w:t>
      </w:r>
      <w:r w:rsidRPr="00A05187">
        <w:rPr>
          <w:color w:val="000000" w:themeColor="text1"/>
          <w:sz w:val="28"/>
        </w:rPr>
        <w:lastRenderedPageBreak/>
        <w:t>целью и обращений в связи с заболеванием</w:t>
      </w:r>
      <w:r>
        <w:rPr>
          <w:color w:val="000000" w:themeColor="text1"/>
          <w:sz w:val="28"/>
        </w:rPr>
        <w:t>,</w:t>
      </w:r>
      <w:r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включаются в реестр счета на оплату по подушевому нормативу финансирования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AE77EE">
        <w:rPr>
          <w:color w:val="000000" w:themeColor="text1"/>
          <w:sz w:val="28"/>
        </w:rPr>
        <w:t xml:space="preserve">«IDSP»=31 </w:t>
      </w:r>
      <w:r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 xml:space="preserve">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2242A1">
        <w:rPr>
          <w:color w:val="000000" w:themeColor="text1"/>
          <w:sz w:val="28"/>
        </w:rPr>
        <w:t>«IDSP»=</w:t>
      </w:r>
      <w:r>
        <w:rPr>
          <w:color w:val="000000" w:themeColor="text1"/>
          <w:sz w:val="28"/>
        </w:rPr>
        <w:t>29,</w:t>
      </w:r>
      <w:r w:rsidRPr="002242A1">
        <w:rPr>
          <w:color w:val="000000" w:themeColor="text1"/>
          <w:sz w:val="28"/>
        </w:rPr>
        <w:t xml:space="preserve"> </w:t>
      </w:r>
      <w:r w:rsidRPr="00AE77EE">
        <w:rPr>
          <w:color w:val="000000" w:themeColor="text1"/>
          <w:sz w:val="28"/>
        </w:rPr>
        <w:t>«IDSP»=3</w:t>
      </w:r>
      <w:r>
        <w:rPr>
          <w:color w:val="000000" w:themeColor="text1"/>
          <w:sz w:val="28"/>
        </w:rPr>
        <w:t xml:space="preserve">0 </w:t>
      </w:r>
      <w:r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>.</w:t>
      </w:r>
    </w:p>
    <w:p w14:paraId="5851DCBB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>
        <w:rPr>
          <w:color w:val="000000" w:themeColor="text1"/>
          <w:sz w:val="28"/>
        </w:rPr>
        <w:t xml:space="preserve">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>
        <w:rPr>
          <w:color w:val="000000" w:themeColor="text1"/>
          <w:sz w:val="28"/>
        </w:rPr>
        <w:t>, включаются</w:t>
      </w:r>
      <w:r w:rsidRPr="00A05187">
        <w:rPr>
          <w:color w:val="000000" w:themeColor="text1"/>
          <w:sz w:val="28"/>
        </w:rPr>
        <w:t xml:space="preserve"> в основной реестр счета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578DCEFE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>
        <w:rPr>
          <w:color w:val="000000" w:themeColor="text1"/>
          <w:sz w:val="28"/>
        </w:rPr>
        <w:t xml:space="preserve">по профилям </w:t>
      </w:r>
      <w:r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>
        <w:rPr>
          <w:color w:val="000000" w:themeColor="text1"/>
          <w:sz w:val="28"/>
        </w:rPr>
        <w:t xml:space="preserve">подлежат оплате как </w:t>
      </w:r>
      <w:r w:rsidRPr="006A5629">
        <w:rPr>
          <w:color w:val="000000" w:themeColor="text1"/>
          <w:sz w:val="28"/>
        </w:rPr>
        <w:t>консультативные посещения с иными целями</w:t>
      </w:r>
      <w:r>
        <w:rPr>
          <w:color w:val="000000" w:themeColor="text1"/>
          <w:sz w:val="28"/>
        </w:rPr>
        <w:t xml:space="preserve"> и </w:t>
      </w:r>
      <w:r w:rsidRPr="006A5629">
        <w:rPr>
          <w:color w:val="000000" w:themeColor="text1"/>
          <w:sz w:val="28"/>
        </w:rPr>
        <w:t>консультативные обращения по заболеванию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69160BF5" w14:textId="30D8823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>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№ 1/2025 способом оплаты).</w:t>
      </w:r>
      <w:r>
        <w:rPr>
          <w:rStyle w:val="ac"/>
          <w:color w:val="000000" w:themeColor="text1"/>
          <w:sz w:val="28"/>
        </w:rPr>
        <w:footnoteReference w:id="25"/>
      </w:r>
    </w:p>
    <w:p w14:paraId="0C36BF78" w14:textId="3F16C696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67CD2E8C" w14:textId="30389740" w:rsidR="000D4425" w:rsidRDefault="000D4425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0D4425">
        <w:rPr>
          <w:color w:val="000000" w:themeColor="text1"/>
          <w:sz w:val="28"/>
          <w:szCs w:val="28"/>
        </w:rPr>
        <w:t>- ГБУЗ «Камчатская краевая больница им. А.С. Лукашевского»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  <w:r>
        <w:rPr>
          <w:rStyle w:val="ac"/>
          <w:color w:val="000000" w:themeColor="text1"/>
          <w:sz w:val="28"/>
          <w:szCs w:val="28"/>
        </w:rPr>
        <w:footnoteReference w:id="26"/>
      </w:r>
    </w:p>
    <w:p w14:paraId="2B5C16F1" w14:textId="5E0CD260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ГБУЗ «Камчатская краевая детская больница» (в части </w:t>
      </w:r>
      <w:r w:rsidRPr="004F6CB8">
        <w:rPr>
          <w:strike/>
          <w:color w:val="000000" w:themeColor="text1"/>
          <w:sz w:val="28"/>
          <w:szCs w:val="28"/>
        </w:rPr>
        <w:t>ортодонтической</w:t>
      </w:r>
      <w:r w:rsidR="004F6CB8">
        <w:rPr>
          <w:rStyle w:val="ac"/>
          <w:strike/>
          <w:color w:val="000000" w:themeColor="text1"/>
          <w:sz w:val="28"/>
          <w:szCs w:val="28"/>
        </w:rPr>
        <w:footnoteReference w:id="27"/>
      </w:r>
      <w:r w:rsidRPr="00FC4BC1">
        <w:rPr>
          <w:color w:val="000000" w:themeColor="text1"/>
          <w:sz w:val="28"/>
          <w:szCs w:val="28"/>
        </w:rPr>
        <w:t xml:space="preserve">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lastRenderedPageBreak/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«Вилючинская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28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«4» – для сверхдлительной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</w:t>
      </w:r>
      <w:r w:rsidRPr="009B22D5">
        <w:rPr>
          <w:color w:val="000000" w:themeColor="text1"/>
          <w:sz w:val="28"/>
        </w:rPr>
        <w:lastRenderedPageBreak/>
        <w:t xml:space="preserve">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«IDSP»=28;</w:t>
      </w:r>
    </w:p>
    <w:p w14:paraId="13F56A79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«CODE_USL»=«A18.05.002» при проведении гемодиализа, «А18.05.011» при проведении гемодиафильтрации, «А18.30.001» для перитонеального диализа;</w:t>
      </w:r>
    </w:p>
    <w:p w14:paraId="49024EF7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 xml:space="preserve"> - «KOL_USL» заполняется соответственно количеству выполненных услуг;</w:t>
      </w:r>
    </w:p>
    <w:p w14:paraId="789C3D9B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«P_CEL»=6.7.</w:t>
      </w:r>
    </w:p>
    <w:p w14:paraId="1FDFA389" w14:textId="1CF46862" w:rsidR="00D32F46" w:rsidRPr="00D32F46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  <w:r w:rsidR="00D32F46">
        <w:rPr>
          <w:rStyle w:val="ac"/>
          <w:color w:val="000000" w:themeColor="text1"/>
          <w:sz w:val="28"/>
        </w:rPr>
        <w:footnoteReference w:id="29"/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6.7. В случае проведения </w:t>
      </w:r>
      <w:bookmarkStart w:id="20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20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178817B0" w:rsidR="003B2F32" w:rsidRPr="009B22D5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A1722A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r>
        <w:rPr>
          <w:rStyle w:val="ac"/>
          <w:color w:val="000000" w:themeColor="text1"/>
          <w:sz w:val="28"/>
        </w:rPr>
        <w:footnoteReference w:id="30"/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21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21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«231» – для прерванного, в том числе сверхкороткого, случая длительностью менее 3 дней включительно, с оплатой в размере 100 % </w:t>
      </w:r>
      <w:r w:rsidRPr="009B22D5">
        <w:rPr>
          <w:color w:val="000000" w:themeColor="text1"/>
          <w:sz w:val="28"/>
        </w:rPr>
        <w:lastRenderedPageBreak/>
        <w:t>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001»–«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027»,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032»–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067»,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070»–«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099»,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102»–«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</w:t>
      </w:r>
      <w:r w:rsidRPr="009B22D5">
        <w:rPr>
          <w:color w:val="000000" w:themeColor="text1"/>
          <w:sz w:val="28"/>
          <w:szCs w:val="28"/>
        </w:rPr>
        <w:lastRenderedPageBreak/>
        <w:t xml:space="preserve">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«IDSP»=31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31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32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</w:t>
      </w:r>
      <w:r w:rsidRPr="009B22D5">
        <w:rPr>
          <w:color w:val="000000" w:themeColor="text1"/>
          <w:sz w:val="28"/>
          <w:szCs w:val="28"/>
        </w:rPr>
        <w:lastRenderedPageBreak/>
        <w:t xml:space="preserve">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22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22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Наличие ошибок на этапе медико-экономического контроля в части несоответствия сведений о проведении молекулярно-генетических </w:t>
      </w:r>
      <w:r w:rsidRPr="009B22D5">
        <w:rPr>
          <w:color w:val="000000" w:themeColor="text1"/>
          <w:sz w:val="28"/>
        </w:rPr>
        <w:lastRenderedPageBreak/>
        <w:t>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7AA4B552" w14:textId="5D2932D3" w:rsidR="004847B9" w:rsidRDefault="004847B9">
      <w:pPr>
        <w:pStyle w:val="aa"/>
      </w:pPr>
      <w:r>
        <w:rPr>
          <w:rStyle w:val="ac"/>
        </w:rPr>
        <w:footnoteRef/>
      </w:r>
      <w:r>
        <w:t xml:space="preserve"> В редакции Правил № </w:t>
      </w:r>
      <w:r w:rsidR="008E5ABD">
        <w:t>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2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3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</w:t>
      </w:r>
      <w:bookmarkStart w:id="5" w:name="_Hlk212109767"/>
      <w:r>
        <w:t>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  <w:bookmarkEnd w:id="5"/>
  </w:footnote>
  <w:footnote w:id="4">
    <w:p w14:paraId="2E701320" w14:textId="3104A246" w:rsidR="0066781D" w:rsidRDefault="0066781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40361187" w14:textId="6BC1D0DB" w:rsidR="00E07436" w:rsidRDefault="00E07436">
      <w:pPr>
        <w:pStyle w:val="aa"/>
      </w:pPr>
      <w:r>
        <w:rPr>
          <w:rStyle w:val="ac"/>
        </w:rPr>
        <w:footnoteRef/>
      </w:r>
      <w:r>
        <w:t xml:space="preserve"> В редакции Правил № 8</w:t>
      </w:r>
      <w:r w:rsidRPr="00D41D93">
        <w:t>-202</w:t>
      </w:r>
      <w:r>
        <w:t>5</w:t>
      </w:r>
      <w:r w:rsidRPr="00D41D93">
        <w:t xml:space="preserve"> от </w:t>
      </w:r>
      <w:r>
        <w:t>27.11</w:t>
      </w:r>
      <w:r w:rsidRPr="00D41D93">
        <w:t>.202</w:t>
      </w:r>
      <w:r>
        <w:t>5</w:t>
      </w:r>
      <w:r w:rsidRPr="00D41D93">
        <w:t xml:space="preserve"> г. с 01.</w:t>
      </w:r>
      <w:r>
        <w:t>12</w:t>
      </w:r>
      <w:r w:rsidRPr="00D41D93">
        <w:t>.202</w:t>
      </w:r>
      <w:r>
        <w:t>5</w:t>
      </w:r>
      <w:r w:rsidRPr="00D41D93">
        <w:t xml:space="preserve"> г.</w:t>
      </w:r>
    </w:p>
  </w:footnote>
  <w:footnote w:id="6">
    <w:p w14:paraId="357E510F" w14:textId="057646CA" w:rsidR="00E07436" w:rsidRDefault="00E07436">
      <w:pPr>
        <w:pStyle w:val="aa"/>
      </w:pPr>
      <w:r>
        <w:rPr>
          <w:rStyle w:val="ac"/>
        </w:rPr>
        <w:footnoteRef/>
      </w:r>
      <w:r>
        <w:t xml:space="preserve"> В редакции Правил № 8</w:t>
      </w:r>
      <w:r w:rsidRPr="00D41D93">
        <w:t>-202</w:t>
      </w:r>
      <w:r>
        <w:t>5</w:t>
      </w:r>
      <w:r w:rsidRPr="00D41D93">
        <w:t xml:space="preserve"> от </w:t>
      </w:r>
      <w:r>
        <w:t>27.11</w:t>
      </w:r>
      <w:r w:rsidRPr="00D41D93">
        <w:t>.202</w:t>
      </w:r>
      <w:r>
        <w:t>5</w:t>
      </w:r>
      <w:r w:rsidRPr="00D41D93">
        <w:t xml:space="preserve"> г. с 01.</w:t>
      </w:r>
      <w:r>
        <w:t>12</w:t>
      </w:r>
      <w:r w:rsidRPr="00D41D93">
        <w:t>.202</w:t>
      </w:r>
      <w:r>
        <w:t>5</w:t>
      </w:r>
      <w:r w:rsidRPr="00D41D93">
        <w:t xml:space="preserve"> г.</w:t>
      </w:r>
    </w:p>
  </w:footnote>
  <w:footnote w:id="7">
    <w:p w14:paraId="5B97EECF" w14:textId="371EEDAB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8">
    <w:p w14:paraId="005382BB" w14:textId="70619C9B" w:rsidR="00E07436" w:rsidRDefault="00E07436">
      <w:pPr>
        <w:pStyle w:val="aa"/>
      </w:pPr>
      <w:r>
        <w:rPr>
          <w:rStyle w:val="ac"/>
        </w:rPr>
        <w:footnoteRef/>
      </w:r>
      <w:r>
        <w:t xml:space="preserve"> В редакции Правил № 8</w:t>
      </w:r>
      <w:r w:rsidRPr="00D41D93">
        <w:t>-202</w:t>
      </w:r>
      <w:r>
        <w:t>5</w:t>
      </w:r>
      <w:r w:rsidRPr="00D41D93">
        <w:t xml:space="preserve"> от </w:t>
      </w:r>
      <w:r>
        <w:t>27.11</w:t>
      </w:r>
      <w:r w:rsidRPr="00D41D93">
        <w:t>.202</w:t>
      </w:r>
      <w:r>
        <w:t>5</w:t>
      </w:r>
      <w:r w:rsidRPr="00D41D93">
        <w:t xml:space="preserve"> г. с 01.</w:t>
      </w:r>
      <w:r>
        <w:t>12</w:t>
      </w:r>
      <w:r w:rsidRPr="00D41D93">
        <w:t>.202</w:t>
      </w:r>
      <w:r>
        <w:t>5</w:t>
      </w:r>
      <w:r w:rsidRPr="00D41D93">
        <w:t xml:space="preserve"> г.</w:t>
      </w:r>
    </w:p>
  </w:footnote>
  <w:footnote w:id="9">
    <w:p w14:paraId="27D75EC6" w14:textId="5A664B65" w:rsidR="00BD689B" w:rsidRDefault="00BD689B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10">
    <w:p w14:paraId="4F83A1D3" w14:textId="1611E3CA" w:rsidR="000B2EC9" w:rsidRDefault="000B2EC9">
      <w:pPr>
        <w:pStyle w:val="aa"/>
      </w:pPr>
      <w:r>
        <w:rPr>
          <w:rStyle w:val="ac"/>
        </w:rPr>
        <w:footnoteRef/>
      </w:r>
      <w:r>
        <w:t xml:space="preserve"> </w:t>
      </w:r>
      <w:bookmarkStart w:id="6" w:name="_Hlk212109952"/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6"/>
    </w:p>
  </w:footnote>
  <w:footnote w:id="11">
    <w:p w14:paraId="33CC055F" w14:textId="2862AFD2" w:rsidR="00E07436" w:rsidRDefault="00E07436">
      <w:pPr>
        <w:pStyle w:val="aa"/>
      </w:pPr>
      <w:r>
        <w:rPr>
          <w:rStyle w:val="ac"/>
        </w:rPr>
        <w:footnoteRef/>
      </w:r>
      <w:r>
        <w:t xml:space="preserve"> В редакции Правил № 8</w:t>
      </w:r>
      <w:r w:rsidRPr="00D41D93">
        <w:t>-202</w:t>
      </w:r>
      <w:r>
        <w:t>5</w:t>
      </w:r>
      <w:r w:rsidRPr="00D41D93">
        <w:t xml:space="preserve"> от </w:t>
      </w:r>
      <w:r>
        <w:t>27.11</w:t>
      </w:r>
      <w:r w:rsidRPr="00D41D93">
        <w:t>.202</w:t>
      </w:r>
      <w:r>
        <w:t>5</w:t>
      </w:r>
      <w:r w:rsidRPr="00D41D93">
        <w:t xml:space="preserve"> г. с 01.</w:t>
      </w:r>
      <w:r>
        <w:t>12</w:t>
      </w:r>
      <w:r w:rsidRPr="00D41D93">
        <w:t>.202</w:t>
      </w:r>
      <w:r>
        <w:t>5</w:t>
      </w:r>
      <w:r w:rsidRPr="00D41D93">
        <w:t xml:space="preserve"> г.</w:t>
      </w:r>
    </w:p>
  </w:footnote>
  <w:footnote w:id="12">
    <w:p w14:paraId="4CD9E0DD" w14:textId="5A9B312C" w:rsidR="0066781D" w:rsidRDefault="0066781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13">
    <w:p w14:paraId="5FED97FC" w14:textId="5CA439C7" w:rsidR="00751184" w:rsidRDefault="00751184">
      <w:pPr>
        <w:pStyle w:val="aa"/>
      </w:pPr>
      <w:r>
        <w:rPr>
          <w:rStyle w:val="ac"/>
        </w:rPr>
        <w:footnoteRef/>
      </w:r>
      <w:r>
        <w:t xml:space="preserve"> 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  <w:footnote w:id="14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5">
    <w:p w14:paraId="6B96D0F9" w14:textId="3B5790AC" w:rsidR="0019173D" w:rsidRDefault="0019173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16">
    <w:p w14:paraId="5BDB6657" w14:textId="1BD86C0D" w:rsidR="0019173D" w:rsidRDefault="0019173D">
      <w:pPr>
        <w:pStyle w:val="aa"/>
      </w:pPr>
      <w:r>
        <w:rPr>
          <w:rStyle w:val="ac"/>
        </w:rPr>
        <w:footnoteRef/>
      </w:r>
      <w:r>
        <w:t xml:space="preserve"> </w:t>
      </w:r>
      <w:bookmarkStart w:id="8" w:name="_Hlk212110155"/>
      <w:bookmarkStart w:id="9" w:name="_Hlk212110391"/>
      <w:r>
        <w:t>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  <w:bookmarkEnd w:id="8"/>
    </w:p>
    <w:bookmarkEnd w:id="9"/>
  </w:footnote>
  <w:footnote w:id="17">
    <w:p w14:paraId="61579C81" w14:textId="6D744B98" w:rsidR="000B2EC9" w:rsidRDefault="000B2EC9">
      <w:pPr>
        <w:pStyle w:val="aa"/>
      </w:pPr>
      <w:r>
        <w:rPr>
          <w:rStyle w:val="ac"/>
        </w:rPr>
        <w:footnoteRef/>
      </w:r>
      <w:r>
        <w:t xml:space="preserve"> </w:t>
      </w:r>
      <w:bookmarkStart w:id="12" w:name="_Hlk205385587"/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</w:t>
      </w:r>
      <w:r>
        <w:t>.</w:t>
      </w:r>
    </w:p>
    <w:bookmarkEnd w:id="12"/>
  </w:footnote>
  <w:footnote w:id="18">
    <w:p w14:paraId="2CD96A27" w14:textId="2F7B12B9" w:rsidR="0048398B" w:rsidRDefault="0048398B">
      <w:pPr>
        <w:pStyle w:val="aa"/>
      </w:pPr>
      <w:r>
        <w:rPr>
          <w:rStyle w:val="ac"/>
        </w:rPr>
        <w:footnoteRef/>
      </w:r>
      <w:r>
        <w:t xml:space="preserve"> </w:t>
      </w:r>
      <w:r w:rsidRPr="0048398B">
        <w:t xml:space="preserve">В редакции Правил № </w:t>
      </w:r>
      <w:r>
        <w:t>6</w:t>
      </w:r>
      <w:r w:rsidRPr="0048398B">
        <w:t xml:space="preserve">-2025 от </w:t>
      </w:r>
      <w:r>
        <w:t>06</w:t>
      </w:r>
      <w:r w:rsidRPr="0048398B">
        <w:t>.0</w:t>
      </w:r>
      <w:r>
        <w:t>8</w:t>
      </w:r>
      <w:r w:rsidRPr="0048398B">
        <w:t>.2025 г. с 01.0</w:t>
      </w:r>
      <w:r>
        <w:t>8</w:t>
      </w:r>
      <w:r w:rsidRPr="0048398B">
        <w:t>.2025 г.</w:t>
      </w:r>
    </w:p>
  </w:footnote>
  <w:footnote w:id="19">
    <w:p w14:paraId="2D5149EE" w14:textId="657EC3D2" w:rsidR="00E07436" w:rsidRDefault="00E07436">
      <w:pPr>
        <w:pStyle w:val="aa"/>
      </w:pPr>
      <w:r>
        <w:rPr>
          <w:rStyle w:val="ac"/>
        </w:rPr>
        <w:footnoteRef/>
      </w:r>
      <w:r>
        <w:t xml:space="preserve"> </w:t>
      </w:r>
      <w:r w:rsidR="00805558" w:rsidRPr="0048398B">
        <w:t xml:space="preserve">В редакции Правил № </w:t>
      </w:r>
      <w:r w:rsidR="00805558">
        <w:t>8</w:t>
      </w:r>
      <w:r w:rsidR="00805558" w:rsidRPr="0048398B">
        <w:t xml:space="preserve">-2025 от </w:t>
      </w:r>
      <w:r w:rsidR="00805558">
        <w:t>27</w:t>
      </w:r>
      <w:r w:rsidR="00805558" w:rsidRPr="0048398B">
        <w:t>.</w:t>
      </w:r>
      <w:r w:rsidR="00805558">
        <w:t>11</w:t>
      </w:r>
      <w:r w:rsidR="00805558" w:rsidRPr="0048398B">
        <w:t>.2025 г. с 01.</w:t>
      </w:r>
      <w:r w:rsidR="00805558">
        <w:t>12</w:t>
      </w:r>
      <w:r w:rsidR="00805558" w:rsidRPr="0048398B">
        <w:t>.2025 г.</w:t>
      </w:r>
    </w:p>
  </w:footnote>
  <w:footnote w:id="20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21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22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23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24">
    <w:p w14:paraId="3E1055CA" w14:textId="3B6B64E3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5">
    <w:p w14:paraId="077300AD" w14:textId="61EDA50B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6">
    <w:p w14:paraId="060F311E" w14:textId="743A33FA" w:rsidR="000D4425" w:rsidRDefault="000D4425">
      <w:pPr>
        <w:pStyle w:val="aa"/>
      </w:pPr>
      <w:r>
        <w:rPr>
          <w:rStyle w:val="ac"/>
        </w:rPr>
        <w:footnoteRef/>
      </w:r>
      <w:r>
        <w:t xml:space="preserve"> 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7">
    <w:p w14:paraId="2CEF9C5F" w14:textId="208F83ED" w:rsidR="004F6CB8" w:rsidRDefault="004F6CB8">
      <w:pPr>
        <w:pStyle w:val="aa"/>
      </w:pPr>
      <w:r>
        <w:rPr>
          <w:rStyle w:val="ac"/>
        </w:rPr>
        <w:footnoteRef/>
      </w:r>
      <w:r>
        <w:t xml:space="preserve"> </w:t>
      </w:r>
      <w:bookmarkStart w:id="19" w:name="_Hlk199760459"/>
      <w:r>
        <w:t>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19"/>
    </w:p>
  </w:footnote>
  <w:footnote w:id="28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29">
    <w:p w14:paraId="1969ED73" w14:textId="1AC0E1B0" w:rsidR="00D32F46" w:rsidRDefault="00D32F46">
      <w:pPr>
        <w:pStyle w:val="aa"/>
      </w:pPr>
      <w:r>
        <w:rPr>
          <w:rStyle w:val="ac"/>
        </w:rPr>
        <w:footnoteRef/>
      </w:r>
      <w:r>
        <w:t xml:space="preserve"> </w:t>
      </w:r>
      <w:r w:rsidRPr="00D32F46">
        <w:t>В редакции Правил № 7-2025 от 23.10.2025 г. с 01.10.2025 г.</w:t>
      </w:r>
    </w:p>
  </w:footnote>
  <w:footnote w:id="30">
    <w:p w14:paraId="5B01875D" w14:textId="084F3942" w:rsidR="003B2F32" w:rsidRDefault="003B2F32">
      <w:pPr>
        <w:pStyle w:val="aa"/>
      </w:pPr>
      <w:r>
        <w:rPr>
          <w:rStyle w:val="ac"/>
        </w:rPr>
        <w:footnoteRef/>
      </w:r>
      <w:r>
        <w:t xml:space="preserve"> </w:t>
      </w:r>
      <w:r w:rsidRPr="003B2F32">
        <w:t>В редакции Правил № 5-2025 от 30.05.2025 г. с 01.05.2025 г.</w:t>
      </w:r>
    </w:p>
  </w:footnote>
  <w:footnote w:id="31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32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6B9"/>
    <w:rsid w:val="000A4E0A"/>
    <w:rsid w:val="000A4ED2"/>
    <w:rsid w:val="000B0A95"/>
    <w:rsid w:val="000B22E2"/>
    <w:rsid w:val="000B2EC9"/>
    <w:rsid w:val="000B4EEE"/>
    <w:rsid w:val="000B7C17"/>
    <w:rsid w:val="000C096F"/>
    <w:rsid w:val="000C3BC0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86A9A"/>
    <w:rsid w:val="00190CE8"/>
    <w:rsid w:val="0019173D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B1378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172C6"/>
    <w:rsid w:val="00431C90"/>
    <w:rsid w:val="0043784A"/>
    <w:rsid w:val="00445440"/>
    <w:rsid w:val="004574D8"/>
    <w:rsid w:val="00457A3E"/>
    <w:rsid w:val="0046508E"/>
    <w:rsid w:val="00465D78"/>
    <w:rsid w:val="00466579"/>
    <w:rsid w:val="00472E81"/>
    <w:rsid w:val="00475D35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6781D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0555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5ABD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61AA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D689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07436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57</Pages>
  <Words>21473</Words>
  <Characters>122397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51</cp:revision>
  <cp:lastPrinted>2025-02-26T00:21:00Z</cp:lastPrinted>
  <dcterms:created xsi:type="dcterms:W3CDTF">2025-01-28T04:42:00Z</dcterms:created>
  <dcterms:modified xsi:type="dcterms:W3CDTF">2025-11-27T21:29:00Z</dcterms:modified>
</cp:coreProperties>
</file>